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BBED2" w14:textId="77777777"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</w:p>
    <w:p w14:paraId="31B459B4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بهداشت،درمان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وآموزش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6EE218F1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="00C438ED">
        <w:rPr>
          <w:rFonts w:asciiTheme="minorHAnsi" w:eastAsiaTheme="minorHAnsi" w:hAnsiTheme="minorHAnsi" w:cs="B Lotus"/>
          <w:b/>
          <w:bCs/>
          <w:sz w:val="28"/>
          <w:szCs w:val="28"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72E3CB7C" w14:textId="77777777"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مرکزمطالعات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وتوسعه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="007B6DC3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14:paraId="280250A8" w14:textId="7344CCD6" w:rsidR="00C509FE" w:rsidRDefault="00C509FE" w:rsidP="00C438ED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521F69">
        <w:rPr>
          <w:rFonts w:cs="B Lotus" w:hint="cs"/>
          <w:color w:val="2E74B5" w:themeColor="accent1" w:themeShade="BF"/>
          <w:rtl/>
        </w:rPr>
        <w:t>1403</w:t>
      </w:r>
    </w:p>
    <w:p w14:paraId="7BDCF333" w14:textId="77777777" w:rsidR="00A60F8B" w:rsidRPr="00A60F8B" w:rsidRDefault="00A60F8B" w:rsidP="00A60F8B">
      <w:pPr>
        <w:rPr>
          <w:lang w:bidi="fa-IR"/>
        </w:rPr>
      </w:pPr>
    </w:p>
    <w:p w14:paraId="666AF83E" w14:textId="77777777"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30C24129" w14:textId="77777777"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14:paraId="274A852F" w14:textId="77777777"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14:paraId="70E413E5" w14:textId="77777777" w:rsidR="00A60F8B" w:rsidRPr="00A60F8B" w:rsidRDefault="00A60F8B" w:rsidP="00A60F8B">
      <w:pPr>
        <w:rPr>
          <w:rtl/>
          <w:lang w:bidi="fa-IR"/>
        </w:rPr>
      </w:pPr>
    </w:p>
    <w:p w14:paraId="78DC1E64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</w:p>
    <w:p w14:paraId="2F86D93E" w14:textId="77777777"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14:paraId="6348DD30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14:paraId="7D5A6715" w14:textId="77777777"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14:paraId="10317902" w14:textId="77777777"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14:paraId="54FBF64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14:paraId="6122DBC0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</w:p>
    <w:p w14:paraId="1155412D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14:paraId="0EB20875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</w:p>
    <w:p w14:paraId="5EFB3151" w14:textId="77777777"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</w:p>
    <w:p w14:paraId="659FCED5" w14:textId="77777777"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وتولید محصولات آموزشی</w:t>
      </w:r>
    </w:p>
    <w:p w14:paraId="3ECEBC7D" w14:textId="77777777"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14:paraId="1C21CB99" w14:textId="77777777"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14:paraId="060AD250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578C6B4C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14:paraId="40FD1DB9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14:paraId="496A1740" w14:textId="77777777"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14:paraId="6832F54B" w14:textId="77777777"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14:paraId="43C8021A" w14:textId="77777777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14:paraId="05F91ADD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408830E1" w14:textId="77777777"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14:paraId="6B057B88" w14:textId="77777777"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4C60F350" w14:textId="77777777"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14:paraId="5813B2F3" w14:textId="77777777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3E6314E9" w14:textId="77777777"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14:paraId="7A26081B" w14:textId="77777777"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011EF5E" w14:textId="77777777"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6B18B0D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2D4594E1" w14:textId="77777777"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14:paraId="616D54FA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3A61E179" w14:textId="77777777"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14:paraId="7CFC187D" w14:textId="77777777" w:rsidTr="00A34B8B">
        <w:trPr>
          <w:jc w:val="center"/>
        </w:trPr>
        <w:tc>
          <w:tcPr>
            <w:tcW w:w="1762" w:type="dxa"/>
          </w:tcPr>
          <w:p w14:paraId="06C505DF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4F7EFD9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5D2C7C5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246A277" w14:textId="77777777"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14:paraId="3AD3772A" w14:textId="77777777"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14:paraId="5D8F481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CCE9A23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14:paraId="1156D12E" w14:textId="77777777" w:rsidTr="00A34B8B">
        <w:trPr>
          <w:jc w:val="center"/>
        </w:trPr>
        <w:tc>
          <w:tcPr>
            <w:tcW w:w="1762" w:type="dxa"/>
          </w:tcPr>
          <w:p w14:paraId="6E44633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509E9C07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6FD4A62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BF76922" w14:textId="77777777"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14:paraId="6D89091A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3D2F1CC9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53702C0D" w14:textId="77777777"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14:paraId="4EBEA1F2" w14:textId="77777777" w:rsidTr="00A34B8B">
        <w:trPr>
          <w:jc w:val="center"/>
        </w:trPr>
        <w:tc>
          <w:tcPr>
            <w:tcW w:w="1762" w:type="dxa"/>
          </w:tcPr>
          <w:p w14:paraId="4AA39F1D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021BE75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0387ADBC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0720BBB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0DCD878E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20D60C63" w14:textId="77777777"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EA5EE95" w14:textId="77777777"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14:paraId="38972D22" w14:textId="77777777" w:rsidTr="00A34B8B">
        <w:trPr>
          <w:jc w:val="center"/>
        </w:trPr>
        <w:tc>
          <w:tcPr>
            <w:tcW w:w="1762" w:type="dxa"/>
          </w:tcPr>
          <w:p w14:paraId="02579643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752C378B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3C5BB9F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25FA5435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0F7D4B6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54C343BA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620A1A13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14:paraId="7CCBB945" w14:textId="77777777" w:rsidTr="00A34B8B">
        <w:trPr>
          <w:jc w:val="center"/>
        </w:trPr>
        <w:tc>
          <w:tcPr>
            <w:tcW w:w="1762" w:type="dxa"/>
          </w:tcPr>
          <w:p w14:paraId="1AAB5037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14:paraId="3930FFCF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27D27A06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14:paraId="509FF924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14:paraId="2425C66D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14:paraId="583A1019" w14:textId="77777777"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14:paraId="46887A61" w14:textId="77777777"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14:paraId="54BA2078" w14:textId="77777777" w:rsidTr="00A34B8B">
        <w:trPr>
          <w:trHeight w:val="766"/>
          <w:jc w:val="center"/>
        </w:trPr>
        <w:tc>
          <w:tcPr>
            <w:tcW w:w="4892" w:type="dxa"/>
            <w:gridSpan w:val="2"/>
          </w:tcPr>
          <w:p w14:paraId="2E8F8AB2" w14:textId="77777777"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14:paraId="53C8A79A" w14:textId="77777777"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14:paraId="53D2B016" w14:textId="77777777"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14:paraId="037C8BB1" w14:textId="77777777"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14:paraId="5C07AE9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14:paraId="2DC18D8E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5604AF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14:paraId="0A29B3EA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7CE7CFFA" w14:textId="77777777"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14:paraId="64229DF5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14:paraId="1F12AED3" w14:textId="77777777"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14:paraId="2AC9A0EE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14:paraId="142FA0DB" w14:textId="77777777"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14:paraId="023AB599" w14:textId="77777777"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14:paraId="21555F5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14:paraId="63382FC7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D8DD096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14:paraId="44880EE4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14:paraId="32B0192B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8C26662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14:paraId="44DE7653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256E14E3" w14:textId="77777777"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0B240DE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14:paraId="0136FF30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35E88FDB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14:paraId="35E39FF9" w14:textId="77777777"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14:paraId="787CE979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14:paraId="6B15B4E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14:paraId="3AC8E133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14:paraId="477423B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14:paraId="4D89FFB0" w14:textId="77777777"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14:paraId="4222DA3B" w14:textId="77777777"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14:paraId="4E1AD45D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14:paraId="7651BFD6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8"/>
        <w:gridCol w:w="504"/>
        <w:gridCol w:w="6867"/>
        <w:gridCol w:w="1889"/>
      </w:tblGrid>
      <w:tr w:rsidR="00A1340E" w:rsidRPr="009C510C" w14:paraId="3FCA9636" w14:textId="77777777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14:paraId="39395C98" w14:textId="77777777"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14:paraId="68A203C4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14:paraId="2A775A29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2D006B8F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59F15BC0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14:paraId="1B59AF31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14:paraId="5AA2A77E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1688C63B" w14:textId="77777777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042B1E2D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14:paraId="053153EE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</w:p>
        </w:tc>
        <w:tc>
          <w:tcPr>
            <w:tcW w:w="1919" w:type="dxa"/>
            <w:vAlign w:val="center"/>
          </w:tcPr>
          <w:p w14:paraId="506D920C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096803D3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829802E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14:paraId="0B2727C6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14:paraId="782DA035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5B63D556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76675EC9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14:paraId="76AC3A81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14:paraId="484D5FDF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14:paraId="638A9C17" w14:textId="77777777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14:paraId="1FFC3097" w14:textId="77777777"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14:paraId="28E0DD5C" w14:textId="77777777"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14:paraId="5598D75B" w14:textId="77777777"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41D16E73" w14:textId="77777777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14:paraId="57931CFC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14:paraId="41CBC856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14:paraId="75A6A0C0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A86F823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46EA1FB2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14:paraId="1ECEC65C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مستمردارند،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کمتراز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14:paraId="7D9C70F7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53F60C88" w14:textId="77777777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1471CAA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6C794276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14:paraId="02F78D20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دوبار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6DEDB999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14:paraId="02462366" w14:textId="77777777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14:paraId="214BA82E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14:paraId="6E7FC054" w14:textId="77777777"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14:paraId="36024BA1" w14:textId="77777777"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سیاستگذاری،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ذیصلاح</w:t>
            </w:r>
            <w:r w:rsidR="00C438ED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14:paraId="111C35BC" w14:textId="77777777"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14:paraId="57C8B913" w14:textId="77777777"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14:paraId="4A70F083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69C79D91" w14:textId="77777777"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14:paraId="29F4A48F" w14:textId="77777777"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14:paraId="2959D678" w14:textId="77777777"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14:paraId="01C9093C" w14:textId="77777777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76858F3C" w14:textId="77777777"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7CD4E23C" w14:textId="77777777"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0DF8184D" w14:textId="77777777"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14:paraId="7956884B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873EC4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323D5E4E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7757AB60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45CF6AF3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7B7A05B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2A8F8752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14:paraId="5F471A79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577A0E39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146C1B2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5281A633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52D1D8E1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1C44E0DF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00807C6C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5C31FB4C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14:paraId="04827811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06F40981" w14:textId="77777777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973836F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7F860A8B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544F72CD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14:paraId="389D8CF4" w14:textId="77777777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B1D43F9" w14:textId="77777777"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0CC58472" w14:textId="77777777"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1076CCDA" w14:textId="77777777"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14:paraId="0F354A9B" w14:textId="77777777"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0A7BC73F" w14:textId="77777777"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4997726F" w14:textId="77777777"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14:paraId="520DEF27" w14:textId="77777777"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14:paraId="7B9C9B68" w14:textId="77777777"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14:paraId="4202E8BB" w14:textId="77777777"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14:paraId="04A722D5" w14:textId="77777777"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A4ABC" w14:textId="77777777" w:rsidR="0037741D" w:rsidRDefault="0037741D" w:rsidP="00C509FE">
      <w:pPr>
        <w:spacing w:after="0" w:line="240" w:lineRule="auto"/>
      </w:pPr>
      <w:r>
        <w:separator/>
      </w:r>
    </w:p>
  </w:endnote>
  <w:endnote w:type="continuationSeparator" w:id="0">
    <w:p w14:paraId="312DEFAB" w14:textId="77777777" w:rsidR="0037741D" w:rsidRDefault="0037741D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3DF44" w14:textId="77777777" w:rsidR="00557C3F" w:rsidRPr="00557C3F" w:rsidRDefault="005712A6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C438ED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14:paraId="4EE8D6EB" w14:textId="77777777"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19F04" w14:textId="77777777" w:rsidR="0037741D" w:rsidRDefault="0037741D" w:rsidP="00C509FE">
      <w:pPr>
        <w:spacing w:after="0" w:line="240" w:lineRule="auto"/>
      </w:pPr>
      <w:r>
        <w:separator/>
      </w:r>
    </w:p>
  </w:footnote>
  <w:footnote w:type="continuationSeparator" w:id="0">
    <w:p w14:paraId="33ACBC70" w14:textId="77777777" w:rsidR="0037741D" w:rsidRDefault="0037741D" w:rsidP="00C509FE">
      <w:pPr>
        <w:spacing w:after="0" w:line="240" w:lineRule="auto"/>
      </w:pPr>
      <w:r>
        <w:continuationSeparator/>
      </w:r>
    </w:p>
  </w:footnote>
  <w:footnote w:id="1">
    <w:p w14:paraId="3C8FB380" w14:textId="77777777"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14:paraId="6FE5FE2E" w14:textId="77777777"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14:paraId="65550BE4" w14:textId="77777777"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>
        <w:rPr>
          <w:lang w:bidi="fa-IR"/>
        </w:rPr>
        <w:t>and</w:t>
      </w:r>
      <w:r w:rsidRPr="002C22FD">
        <w:rPr>
          <w:lang w:bidi="fa-IR"/>
        </w:rPr>
        <w:t>CME/CPD</w:t>
      </w:r>
    </w:p>
  </w:footnote>
  <w:footnote w:id="4">
    <w:p w14:paraId="0AB61A4D" w14:textId="77777777"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3882"/>
    <w:rsid w:val="003041AC"/>
    <w:rsid w:val="00322BB4"/>
    <w:rsid w:val="00342DDE"/>
    <w:rsid w:val="0034769D"/>
    <w:rsid w:val="003555DC"/>
    <w:rsid w:val="00362D90"/>
    <w:rsid w:val="0037741D"/>
    <w:rsid w:val="00400F89"/>
    <w:rsid w:val="00433B1A"/>
    <w:rsid w:val="004B09EB"/>
    <w:rsid w:val="004B1420"/>
    <w:rsid w:val="004E6824"/>
    <w:rsid w:val="0051470A"/>
    <w:rsid w:val="00521F69"/>
    <w:rsid w:val="00530244"/>
    <w:rsid w:val="00557C3F"/>
    <w:rsid w:val="005712A6"/>
    <w:rsid w:val="00587FF8"/>
    <w:rsid w:val="00595371"/>
    <w:rsid w:val="005B0878"/>
    <w:rsid w:val="0069367D"/>
    <w:rsid w:val="006C154D"/>
    <w:rsid w:val="006D250F"/>
    <w:rsid w:val="006E3775"/>
    <w:rsid w:val="006E4F99"/>
    <w:rsid w:val="007B6DC3"/>
    <w:rsid w:val="00852030"/>
    <w:rsid w:val="00875A72"/>
    <w:rsid w:val="00882BB5"/>
    <w:rsid w:val="008A6A63"/>
    <w:rsid w:val="008C233A"/>
    <w:rsid w:val="008E08BC"/>
    <w:rsid w:val="00942039"/>
    <w:rsid w:val="0098028C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438ED"/>
    <w:rsid w:val="00C509FE"/>
    <w:rsid w:val="00C712F3"/>
    <w:rsid w:val="00C9346B"/>
    <w:rsid w:val="00CA0659"/>
    <w:rsid w:val="00CE02D4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23995"/>
    <w:rsid w:val="00F70E1E"/>
    <w:rsid w:val="00F84B44"/>
    <w:rsid w:val="00FB0EC0"/>
    <w:rsid w:val="00FD0C11"/>
    <w:rsid w:val="00FD1291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832D"/>
  <w15:docId w15:val="{7363D8EC-CC70-4DF0-B87D-08AC887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EC8E-0CA6-45FB-964E-B487E834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عبدالباسط خسروي</cp:lastModifiedBy>
  <cp:revision>2</cp:revision>
  <dcterms:created xsi:type="dcterms:W3CDTF">2023-10-16T04:25:00Z</dcterms:created>
  <dcterms:modified xsi:type="dcterms:W3CDTF">2023-10-16T04:25:00Z</dcterms:modified>
</cp:coreProperties>
</file>